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6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164"/>
        <w:gridCol w:w="6404"/>
      </w:tblGrid>
      <w:tr>
        <w:tblPrEx>
          <w:shd w:val="clear" w:color="auto" w:fill="cadfff"/>
        </w:tblPrEx>
        <w:trPr>
          <w:trHeight w:val="1858" w:hRule="atLeast"/>
        </w:trPr>
        <w:tc>
          <w:tcPr>
            <w:tcW w:type="dxa" w:w="8568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d3e5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el"/>
              <w:jc w:val="center"/>
              <w:rPr>
                <w:rFonts w:ascii="Arial" w:cs="Arial" w:hAnsi="Arial" w:eastAsia="Arial"/>
                <w:sz w:val="48"/>
                <w:szCs w:val="48"/>
                <w:shd w:val="nil" w:color="auto" w:fill="auto"/>
                <w:lang w:val="de-DE"/>
              </w:rPr>
            </w:pPr>
            <w:r>
              <w:rPr>
                <w:rFonts w:ascii="Arial" w:hAnsi="Arial"/>
                <w:sz w:val="48"/>
                <w:szCs w:val="48"/>
                <w:shd w:val="nil" w:color="auto" w:fill="auto"/>
                <w:rtl w:val="0"/>
                <w:lang w:val="de-DE"/>
              </w:rPr>
              <w:t xml:space="preserve">Titel / Name d. Veranstaltung,  </w:t>
            </w:r>
          </w:p>
          <w:p>
            <w:pPr>
              <w:pStyle w:val="Titel"/>
              <w:jc w:val="center"/>
            </w:pPr>
            <w:r>
              <w:rPr>
                <w:rFonts w:ascii="Arial" w:hAnsi="Arial"/>
                <w:sz w:val="48"/>
                <w:szCs w:val="48"/>
                <w:shd w:val="nil" w:color="auto" w:fill="auto"/>
                <w:rtl w:val="0"/>
                <w:lang w:val="de-DE"/>
              </w:rPr>
              <w:t>Kategorie (ITF, RL), Sponsoren</w:t>
            </w:r>
          </w:p>
        </w:tc>
      </w:tr>
      <w:tr>
        <w:tblPrEx>
          <w:shd w:val="clear" w:color="auto" w:fill="cadfff"/>
        </w:tblPrEx>
        <w:trPr>
          <w:trHeight w:val="275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Datum d. Turniers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von - bis</w:t>
            </w:r>
          </w:p>
        </w:tc>
      </w:tr>
      <w:tr>
        <w:tblPrEx>
          <w:shd w:val="clear" w:color="auto" w:fill="cadfff"/>
        </w:tblPrEx>
        <w:trPr>
          <w:trHeight w:val="275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Wettbewerbe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Einzel, Doppel, Mixed</w:t>
            </w:r>
          </w:p>
        </w:tc>
      </w:tr>
      <w:tr>
        <w:tblPrEx>
          <w:shd w:val="clear" w:color="auto" w:fill="cadfff"/>
        </w:tblPrEx>
        <w:trPr>
          <w:trHeight w:val="73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Konkurrenzen mit Altersklassen, Feldgr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öß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en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dddddd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Herren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; 16er/32er/64er </w:t>
            </w: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Damen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; 16er/32er/64er</w:t>
            </w:r>
            <w:r>
              <w:rPr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Doppel/Mixed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, AK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 xml:space="preserve">… </w:t>
            </w: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>8er/16er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</w:p>
        </w:tc>
      </w:tr>
      <w:tr>
        <w:tblPrEx>
          <w:shd w:val="clear" w:color="auto" w:fill="cadfff"/>
        </w:tblPrEx>
        <w:trPr>
          <w:trHeight w:val="27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Veranstalter: </w:t>
            </w:r>
          </w:p>
        </w:tc>
        <w:tc>
          <w:tcPr>
            <w:tcW w:type="dxa" w:w="6403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Tennisverband Mecklenburg-Vorpommern e. V. (TMV)</w:t>
            </w:r>
          </w:p>
        </w:tc>
      </w:tr>
      <w:tr>
        <w:tblPrEx>
          <w:shd w:val="clear" w:color="auto" w:fill="cadfff"/>
        </w:tblPrEx>
        <w:trPr>
          <w:trHeight w:val="27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ddddd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Genehmigung:</w:t>
            </w:r>
          </w:p>
        </w:tc>
        <w:tc>
          <w:tcPr>
            <w:tcW w:type="dxa" w:w="6403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2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Verantwortliche/r:</w:t>
            </w:r>
          </w:p>
        </w:tc>
        <w:tc>
          <w:tcPr>
            <w:tcW w:type="dxa" w:w="6403"/>
            <w:tcBorders>
              <w:top w:val="single" w:color="dddddd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Verantwortlich, Presse/Medien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(Name) </w:t>
            </w:r>
          </w:p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Turnierausschuss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(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3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 Namen: T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urnierleiter </w:t>
            </w:r>
            <w:r>
              <w:rPr>
                <w:rFonts w:ascii="Arial" w:hAnsi="Arial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…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, O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berschiedsrichter</w:t>
            </w:r>
            <w:r>
              <w:rPr>
                <w:rFonts w:ascii="Arial" w:hAnsi="Arial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…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shd w:val="clear" w:color="auto" w:fill="ffffff"/>
                <w:rtl w:val="0"/>
                <w:lang w:val="en-US"/>
              </w:rPr>
              <w:t>…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Oberschiedsrichter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(Name)</w:t>
            </w:r>
          </w:p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Turniertelefon,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Web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seite: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Spielorte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-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Pl</w:t>
            </w:r>
            <w:r>
              <w:rPr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tze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,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 Belag: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Meldeschluss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>(Datum: tt.mm.yyyy hh:mm)</w:t>
            </w:r>
          </w:p>
        </w:tc>
      </w:tr>
      <w:tr>
        <w:tblPrEx>
          <w:shd w:val="clear" w:color="auto" w:fill="cadfff"/>
        </w:tblPrEx>
        <w:trPr>
          <w:trHeight w:val="54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Fonts w:ascii="Arial" w:hAnsi="Arial"/>
                <w:sz w:val="22"/>
                <w:szCs w:val="22"/>
                <w:rtl w:val="0"/>
                <w:lang w:val="de-DE"/>
              </w:rPr>
              <w:t xml:space="preserve">Meldung nur online bis... 23:59Uhr: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"https://mybigpoint.tennis.de/"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2"/>
                <w:szCs w:val="22"/>
                <w:u w:val="single" w:color="0000ff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https://mybigpoint.tennis.de/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oder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"https://tmv.liga.nu/cgi-bin/WebObjects/nuLigaTENDE.woa/wa/tournamentCalendar?federation=TMV"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2"/>
                <w:szCs w:val="22"/>
                <w:u w:val="single" w:color="0000ff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2"/>
                <w:szCs w:val="22"/>
                <w:u w:val="single" w:color="0000ff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nuLiga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72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Meldung / Nenngeld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x Euro zzgl. Teilnehmerentgelt (DTB-RL 8,00/5,00; LK 5,00/3,00Euro) - Meldungen/Nennungen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ohne Grund zur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ckgewiesen werden.</w:t>
            </w:r>
          </w:p>
        </w:tc>
      </w:tr>
      <w:tr>
        <w:tblPrEx>
          <w:shd w:val="clear" w:color="auto" w:fill="cadfff"/>
        </w:tblPrEx>
        <w:trPr>
          <w:trHeight w:val="120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Zulassung: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Teilnahmeberechtigt sind Spielerinnen und Spieler mit DTB-Mitgliedschaft bzw. seiner Verb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nde u./o. Vereine (Spieler-ID). Die Teilnehmer unterwerfen sich den geltenden Bestimmungen des DTB und Veranstalters. Setzung/Einstufung erfolgt nach DTB-Turnierordnung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30.</w:t>
            </w:r>
          </w:p>
        </w:tc>
      </w:tr>
      <w:tr>
        <w:tblPrEx>
          <w:shd w:val="clear" w:color="auto" w:fill="cadfff"/>
        </w:tblPrEx>
        <w:trPr>
          <w:trHeight w:val="72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Es werden nur Spieler/innen zugelassen, deren Nenngeld eingegangen ist. Nach Auslosung folgt keine 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ckerstattung (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23,24 DTB-Turnierordnung). Bezahlung vor Ort wird evt. als Nachmeldung mit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berweisungsgeb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hr von 5,00Eur angenommen.</w:t>
            </w:r>
          </w:p>
        </w:tc>
      </w:tr>
      <w:tr>
        <w:tblPrEx>
          <w:shd w:val="clear" w:color="auto" w:fill="cadfff"/>
        </w:tblPrEx>
        <w:trPr>
          <w:trHeight w:val="95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Auslosung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, Ver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ffentlichung, Termine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Datum, Ort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- Internetseite: </w:t>
            </w:r>
            <w:r>
              <w:rPr>
                <w:rStyle w:val="Ohne"/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  <w:br w:type="textWrapping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Ergebnisse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/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Spielzeiten werden bis ca. 2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0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:00 aktualisiert: (Turnierseite/nuLiga)</w:t>
            </w:r>
          </w:p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WildCard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́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s und Direktannahmen erfolgen nach DTB 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29; Setzung nach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30 u. 32/4.</w:t>
            </w:r>
          </w:p>
        </w:tc>
      </w:tr>
      <w:tr>
        <w:tblPrEx>
          <w:shd w:val="clear" w:color="auto" w:fill="cadfff"/>
        </w:tblPrEx>
        <w:trPr>
          <w:trHeight w:val="120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Bei geringerer Teilnehmerzahl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Wettbewerbe gestrichen oder zusammengelegt werden. Grunds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tzlich sind zwei Spiele pro Tag vorgesehen.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r Damen ab AK60+ und Herren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ab AK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65+ ist in der Hauptrunde nur ein Spiel pro Tag vorgesehen. - Nebenrunde wird angeboten (DTB-Turnierordnung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11.4): mindestens drei Teilnehmer. (Kein Spiel um Platz drei.)</w:t>
            </w:r>
          </w:p>
        </w:tc>
      </w:tr>
      <w:tr>
        <w:tblPrEx>
          <w:shd w:val="clear" w:color="auto" w:fill="cadfff"/>
        </w:tblPrEx>
        <w:trPr>
          <w:trHeight w:val="723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suppressAutoHyphens w:val="1"/>
              <w:outlineLvl w:val="0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glichen Spieltermine, -orte sind selbst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ndig aus Internetseite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.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Die Spielzeit versteht sich als Zeit des ersten Aufschlages. Siehe ITF-Tennisregeln.</w:t>
            </w:r>
          </w:p>
        </w:tc>
      </w:tr>
      <w:tr>
        <w:tblPrEx>
          <w:shd w:val="clear" w:color="auto" w:fill="cadfff"/>
        </w:tblPrEx>
        <w:trPr>
          <w:trHeight w:val="1438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Teilnehmer m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ssen sich 30 Minuten vor dem Spielbeginn bei der Turnierleitung melden. Sie sind zu den angegebenen Zeiten spielbereit. Es erfolgt kein wiederholter namentlicher Aufruf zum Spiel. Nach letztem Aufruf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Spieler gestrichen werden. Die Einschlagzeit betr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gt 5 Minuten.</w:t>
            </w:r>
            <w:r>
              <w:rPr>
                <w:rStyle w:val="Ohne"/>
                <w:rFonts w:ascii="Arial" w:cs="Arial" w:hAnsi="Arial" w:eastAsia="Arial"/>
                <w:sz w:val="22"/>
                <w:szCs w:val="22"/>
                <w:lang w:val="de-DE"/>
              </w:rPr>
              <w:br w:type="textWrapping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Bei Regen/Dunkelheit kann ggf. in die Halle verlegt werden; es sind Hallenschuhe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zu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benutzen.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Schiedsrichter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Es werden keine weiteren LR eingesetzt.</w:t>
            </w:r>
          </w:p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B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lle/Anzahl/Wechsel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Wettbewerbe, Feldgr</w:t>
            </w:r>
            <w:r>
              <w:rPr>
                <w:rStyle w:val="Ohne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de-DE"/>
              </w:rPr>
              <w:t>öß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e (Min/Max)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Einzel / Doppel / Mixed, 16er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Feld/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Gruppe/n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…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, KO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ggf.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Nebenrund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e.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Wenn die Mindestteilnehmerzahl nicht erreicht ist,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nnen Konkurrenzen zusammen gelegt werden.</w:t>
            </w:r>
          </w:p>
        </w:tc>
      </w:tr>
      <w:tr>
        <w:tblPrEx>
          <w:shd w:val="clear" w:color="auto" w:fill="cadfff"/>
        </w:tblPrEx>
        <w:trPr>
          <w:trHeight w:val="4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Preise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1. u. 2. Sieger - Pokale, Urkunde, ggf. Sachpreise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,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Geldpreise unterliegen der individuellen Steuerpflicht. 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Wettkampfbestimmungen und Spielmodus:</w:t>
            </w:r>
          </w:p>
        </w:tc>
      </w:tr>
      <w:tr>
        <w:tblPrEx>
          <w:shd w:val="clear" w:color="auto" w:fill="cadfff"/>
        </w:tblPrEx>
        <w:trPr>
          <w:trHeight w:val="1438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Es gelten die Bestimmungen der ITF, des DTB und TMV, weiterhin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gelte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 die Regeln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r Spiel ohne Schiedsrichter, der DTB-Verhaltenscodex, der Ordnungskatalog des TMV. </w:t>
            </w:r>
          </w:p>
          <w:p>
            <w:pPr>
              <w:pStyle w:val="Tex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Es entscheidet der Gewinn von 2 S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tzen. Bei Spielstand 6:6 ist ein Tie-Break (ITF-Regel 6B; Turnierordnung 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§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37) zu spielen. Der evt. 3. Satz wird als Match-Tie-Break (10 Pkt) gespielt.</w:t>
            </w:r>
          </w:p>
        </w:tc>
      </w:tr>
      <w:tr>
        <w:tblPrEx>
          <w:shd w:val="clear" w:color="auto" w:fill="cadfff"/>
        </w:tblPrEx>
        <w:trPr>
          <w:trHeight w:val="1198" w:hRule="atLeast"/>
        </w:trPr>
        <w:tc>
          <w:tcPr>
            <w:tcW w:type="dxa" w:w="8568"/>
            <w:gridSpan w:val="2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Spieler/innen k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nnen von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Turnierausschuss/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Turnierleitung ggf. zum Schiedsrichter berufen werden.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Die Turnierteilnahme erfolgt auf eigene Gefahr. Die Spieler/innen sind pers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nlich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r ihren Gesundheitszustand verantwortlich und erkl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ren mit Spielantritt, dass sie in der Lage sind, ohne gesundheitliche Risiken am Turnier teilzunehmen.</w:t>
            </w:r>
          </w:p>
        </w:tc>
      </w:tr>
      <w:tr>
        <w:tblPrEx>
          <w:shd w:val="clear" w:color="auto" w:fill="cadfff"/>
        </w:tblPrEx>
        <w:trPr>
          <w:trHeight w:val="167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Spielbeginn, 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allg. </w:t>
            </w: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Spieltermin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Spielbeginn ist 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glich 09:00. Alle Spieler/innen haben sich sp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testens 30 Min vor Termin/Ansetzung bei der Turnierleitung einzufinden. Es erfolgt kein 2. Aufruf. Der Spielplan f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r die Folgetage wird in </w:t>
            </w:r>
            <w:r>
              <w:rPr>
                <w:rStyle w:val="Hyperlink.1"/>
                <w:rFonts w:ascii="Arial" w:cs="Arial" w:hAnsi="Arial" w:eastAsia="Arial"/>
                <w:sz w:val="22"/>
                <w:szCs w:val="22"/>
                <w:u w:val="single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sz w:val="22"/>
                <w:szCs w:val="22"/>
                <w:u w:val="single"/>
                <w:lang w:val="it-IT"/>
              </w:rPr>
              <w:instrText xml:space="preserve"> HYPERLINK "http://myBigPoint.tennis.de"</w:instrText>
            </w:r>
            <w:r>
              <w:rPr>
                <w:rStyle w:val="Hyperlink.1"/>
                <w:rFonts w:ascii="Arial" w:cs="Arial" w:hAnsi="Arial" w:eastAsia="Arial"/>
                <w:sz w:val="22"/>
                <w:szCs w:val="22"/>
                <w:u w:val="single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sz w:val="22"/>
                <w:szCs w:val="22"/>
                <w:u w:val="single"/>
                <w:rtl w:val="0"/>
                <w:lang w:val="it-IT"/>
              </w:rPr>
              <w:t>myBigPoint.tennis.de</w:t>
            </w:r>
            <w:r>
              <w:rPr>
                <w:rFonts w:ascii="Arial" w:cs="Arial" w:hAnsi="Arial" w:eastAsia="Arial"/>
                <w:sz w:val="22"/>
                <w:szCs w:val="22"/>
              </w:rPr>
              <w:fldChar w:fldCharType="end" w:fldLock="0"/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 bzw. nuLiga/Verbandsseite t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glich bis ca. 20:00Uhr ver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 xml:space="preserve">ffentlicht. </w:t>
            </w:r>
          </w:p>
          <w:p>
            <w:pPr>
              <w:pStyle w:val="Tex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Unmittelbar nach dem Spiel sind Ergebnis und B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lle bei der Turnierleitung zur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ck zu geben.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Hotel, Unterkunft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(Adresse eines Hotels in der N</w:t>
            </w:r>
            <w:r>
              <w:rPr>
                <w:rStyle w:val="Ohne"/>
                <w:rFonts w:ascii="Arial" w:hAnsi="Arial" w:hint="default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2"/>
                <w:szCs w:val="22"/>
                <w:rtl w:val="0"/>
                <w:lang w:val="de-DE"/>
              </w:rPr>
              <w:t>he...)</w:t>
            </w:r>
          </w:p>
        </w:tc>
      </w:tr>
      <w:tr>
        <w:tblPrEx>
          <w:shd w:val="clear" w:color="auto" w:fill="cadfff"/>
        </w:tblPrEx>
        <w:trPr>
          <w:trHeight w:val="223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Verpflegung 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Club-Gastst</w:t>
            </w:r>
            <w:r>
              <w:rPr>
                <w:rStyle w:val="Oh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tte, Vor Ort wird Mineralwasser, Obst angeboten.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Bespannservice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Kein Service vor Ort.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rzte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(Adresse / Namen)</w:t>
            </w:r>
          </w:p>
        </w:tc>
      </w:tr>
      <w:tr>
        <w:tblPrEx>
          <w:shd w:val="clear" w:color="auto" w:fill="cadfff"/>
        </w:tblPrEx>
        <w:trPr>
          <w:trHeight w:val="288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Sonstiges</w:t>
            </w:r>
          </w:p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</w:pPr>
            <w:r>
              <w:rPr>
                <w:rStyle w:val="Ohne"/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Zum Spielerabend wird eingeladen.</w:t>
            </w:r>
          </w:p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2164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432" w:hanging="432"/>
      </w:pPr>
    </w:p>
    <w:p>
      <w:pPr>
        <w:pStyle w:val="Text 2"/>
        <w:spacing w:line="240" w:lineRule="auto"/>
        <w:ind w:left="324" w:hanging="324"/>
      </w:pPr>
      <w:r>
        <w:rPr>
          <w:rStyle w:val="Ohne"/>
          <w:rFonts w:ascii="Arial Unicode MS" w:cs="Arial Unicode MS" w:hAnsi="Arial Unicode MS" w:eastAsia="Arial Unicode MS"/>
        </w:rPr>
      </w:r>
    </w:p>
    <w:sectPr>
      <w:headerReference w:type="default" r:id="rId4"/>
      <w:footerReference w:type="default" r:id="rId5"/>
      <w:pgSz w:w="11900" w:h="16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00"/>
        <w:tab w:val="clear" w:pos="9020"/>
      </w:tabs>
    </w:pPr>
    <w:r>
      <w:rPr/>
      <w:fldChar w:fldCharType="begin" w:fldLock="0"/>
    </w:r>
    <w:r>
      <w:instrText xml:space="preserve"> DATE \@ "dd.MM.y" </w:instrText>
    </w:r>
    <w:r>
      <w:rPr/>
      <w:fldChar w:fldCharType="separate" w:fldLock="0"/>
    </w:r>
    <w:r>
      <w:rPr>
        <w:rtl w:val="0"/>
      </w:rPr>
      <w:t>20.07.2022</w:t>
    </w:r>
    <w:r>
      <w:rPr/>
      <w:fldChar w:fldCharType="end" w:fldLock="0"/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00"/>
        <w:tab w:val="clear" w:pos="9020"/>
      </w:tabs>
    </w:pPr>
    <w:r>
      <w:drawing xmlns:a="http://schemas.openxmlformats.org/drawingml/2006/main">
        <wp:inline distT="0" distB="0" distL="0" distR="0">
          <wp:extent cx="1231660" cy="629987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660" cy="629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 xmlns:a="http://schemas.openxmlformats.org/drawingml/2006/main">
        <wp:inline distT="0" distB="0" distL="0" distR="0">
          <wp:extent cx="545884" cy="543600"/>
          <wp:effectExtent l="0" t="0" r="0" b="0"/>
          <wp:docPr id="1073741826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ild" descr="Bil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84" cy="54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ff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u w:val="single"/>
      <w:lang w:val="it-IT"/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2">
    <w:name w:val="Text 2"/>
    <w:next w:val="Text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