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56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164"/>
        <w:gridCol w:w="6404"/>
      </w:tblGrid>
      <w:tr>
        <w:tblPrEx>
          <w:shd w:val="clear" w:color="auto" w:fill="cadfff"/>
        </w:tblPrEx>
        <w:trPr>
          <w:trHeight w:val="1858" w:hRule="atLeast"/>
        </w:trPr>
        <w:tc>
          <w:tcPr>
            <w:tcW w:type="dxa" w:w="8568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d3e5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el"/>
              <w:jc w:val="center"/>
              <w:rPr>
                <w:rFonts w:ascii="Arial" w:cs="Arial" w:hAnsi="Arial" w:eastAsia="Arial"/>
                <w:sz w:val="48"/>
                <w:szCs w:val="48"/>
                <w:shd w:val="nil" w:color="auto" w:fill="auto"/>
                <w:lang w:val="de-DE"/>
              </w:rPr>
            </w:pPr>
            <w:r>
              <w:rPr>
                <w:rFonts w:ascii="Arial" w:hAnsi="Arial"/>
                <w:sz w:val="48"/>
                <w:szCs w:val="48"/>
                <w:shd w:val="nil" w:color="auto" w:fill="auto"/>
                <w:rtl w:val="0"/>
                <w:lang w:val="de-DE"/>
              </w:rPr>
              <w:t xml:space="preserve">Titel / Name d. Veranstaltung,  </w:t>
            </w:r>
          </w:p>
          <w:p>
            <w:pPr>
              <w:pStyle w:val="Titel"/>
              <w:jc w:val="center"/>
            </w:pPr>
            <w:r>
              <w:rPr>
                <w:rFonts w:ascii="Arial" w:hAnsi="Arial"/>
                <w:sz w:val="48"/>
                <w:szCs w:val="48"/>
                <w:shd w:val="nil" w:color="auto" w:fill="auto"/>
                <w:rtl w:val="0"/>
                <w:lang w:val="de-DE"/>
              </w:rPr>
              <w:t>Kategorie (ITF, RL), Sponsoren</w:t>
            </w:r>
          </w:p>
        </w:tc>
      </w:tr>
      <w:tr>
        <w:tblPrEx>
          <w:shd w:val="clear" w:color="auto" w:fill="cadfff"/>
        </w:tblPrEx>
        <w:trPr>
          <w:trHeight w:val="275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Datum d. Turniers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von - bis</w:t>
            </w:r>
          </w:p>
        </w:tc>
      </w:tr>
      <w:tr>
        <w:tblPrEx>
          <w:shd w:val="clear" w:color="auto" w:fill="cadfff"/>
        </w:tblPrEx>
        <w:trPr>
          <w:trHeight w:val="275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Wettbewerbe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Einzel, Doppel, Mixed</w:t>
            </w:r>
          </w:p>
        </w:tc>
      </w:tr>
      <w:tr>
        <w:tblPrEx>
          <w:shd w:val="clear" w:color="auto" w:fill="cadfff"/>
        </w:tblPrEx>
        <w:trPr>
          <w:trHeight w:val="73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Konkurrenzen mit Altersklassen, Feldgr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de-DE"/>
              </w:rPr>
              <w:t>öß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en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dddddd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Herren AK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…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; 16er/32er/64er </w:t>
            </w:r>
            <w:r>
              <w:rPr>
                <w:rFonts w:ascii="Arial" w:cs="Arial" w:hAnsi="Arial" w:eastAsia="Arial"/>
                <w:sz w:val="22"/>
                <w:szCs w:val="22"/>
                <w:lang w:val="de-DE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Damen AK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…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; 16er/32er/64er</w:t>
            </w:r>
            <w:r>
              <w:rPr>
                <w:rFonts w:ascii="Arial" w:cs="Arial" w:hAnsi="Arial" w:eastAsia="Arial"/>
                <w:sz w:val="22"/>
                <w:szCs w:val="22"/>
                <w:lang w:val="de-DE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Doppel/Mixed AK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…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, AK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 xml:space="preserve">… 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8er/16er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27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Veranstalter: </w:t>
            </w:r>
          </w:p>
        </w:tc>
        <w:tc>
          <w:tcPr>
            <w:tcW w:type="dxa" w:w="6403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Tennisverband Mecklenburg-Vorpommern e. V. (TMV)</w:t>
            </w:r>
          </w:p>
        </w:tc>
      </w:tr>
      <w:tr>
        <w:tblPrEx>
          <w:shd w:val="clear" w:color="auto" w:fill="cadfff"/>
        </w:tblPrEx>
        <w:trPr>
          <w:trHeight w:val="27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Genehmigung:</w:t>
            </w:r>
          </w:p>
        </w:tc>
        <w:tc>
          <w:tcPr>
            <w:tcW w:type="dxa" w:w="6403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2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Verantwortliche/r:</w:t>
            </w:r>
          </w:p>
        </w:tc>
        <w:tc>
          <w:tcPr>
            <w:tcW w:type="dxa" w:w="6403"/>
            <w:tcBorders>
              <w:top w:val="single" w:color="dddddd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Turniertelefon,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Web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seite: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Spielorte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 -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 Pl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tze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,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 Belag: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Meldeschluss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>(Datum: tt.mm.yyyy hh:mm)</w:t>
            </w:r>
          </w:p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Meldung nur online bis... 23:59Uhr: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instrText xml:space="preserve"> HYPERLINK "https://mybigpoint.tennis.de/"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2"/>
                <w:szCs w:val="22"/>
                <w:u w:val="single" w:color="0000ff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https://mybigpoint.tennis.de/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 oder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instrText xml:space="preserve"> HYPERLINK "https://tmv.liga.nu/cgi-bin/WebObjects/nuLigaTENDE.woa/wa/tournamentCalendar?federation=TMV"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2"/>
                <w:szCs w:val="22"/>
                <w:u w:val="single" w:color="0000ff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nuLiga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72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Meldung / Nenngeld 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x Euro zzgl. Teilnehmerentgelt (DTB-RL 8,00/5,00; LK 5,00/3,00Euro) - Meldungen/Nennungen k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nnen ohne Grund zur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ckgewiesen werden.</w:t>
            </w:r>
          </w:p>
        </w:tc>
      </w:tr>
      <w:tr>
        <w:tblPrEx>
          <w:shd w:val="clear" w:color="auto" w:fill="cadfff"/>
        </w:tblPrEx>
        <w:trPr>
          <w:trHeight w:val="120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Zulassung: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Teilnahmeberechtigt sind Spielerinnen und Spieler mit DTB-Mitgliedschaft bzw. seiner Verb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nde u./o. Vereine (Spieler-ID). Die Teilnehmer unterwerfen sich den geltenden Bestimmungen des DTB und Veranstalters. Setzung/Einstufung erfolgt nach DTB-Turnierordnung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30.</w:t>
            </w:r>
          </w:p>
        </w:tc>
      </w:tr>
      <w:tr>
        <w:tblPrEx>
          <w:shd w:val="clear" w:color="auto" w:fill="cadfff"/>
        </w:tblPrEx>
        <w:trPr>
          <w:trHeight w:val="723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Es werden nur Spieler/innen zugelassen, deren Nenngeld eingegangen ist. Nach Auslosung folgt keine R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ckerstattung (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23,24 DTB-Turnierordnung). Bezahlung vor Ort wird evt. als Nachmeldung mit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berweisungsgeb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hr von 5,00Eur angenommen.</w:t>
            </w:r>
          </w:p>
        </w:tc>
      </w:tr>
      <w:tr>
        <w:tblPrEx>
          <w:shd w:val="clear" w:color="auto" w:fill="cadfff"/>
        </w:tblPrEx>
        <w:trPr>
          <w:trHeight w:val="95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Auslosung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, Ver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ffentlichung, Termine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Datum, Ort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 - Internetseite: </w:t>
            </w:r>
            <w:r>
              <w:rPr>
                <w:rStyle w:val="Ohne"/>
                <w:rFonts w:ascii="Arial" w:cs="Arial" w:hAnsi="Arial" w:eastAsia="Arial"/>
                <w:sz w:val="22"/>
                <w:szCs w:val="22"/>
                <w:lang w:val="de-DE"/>
              </w:rPr>
              <w:br w:type="textWrapping"/>
              <w:br w:type="textWrapping"/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Ergebnisse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/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Spielzeiten werden bis ca. 2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1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:00 aktualisiert: (Turnierseite/nuLiga)</w:t>
            </w:r>
          </w:p>
        </w:tc>
      </w:tr>
      <w:tr>
        <w:tblPrEx>
          <w:shd w:val="clear" w:color="auto" w:fill="cadfff"/>
        </w:tblPrEx>
        <w:trPr>
          <w:trHeight w:val="483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WildCard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́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s und Direktannahmen erfolgen nach DTB Turnierordnung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29; Setzung nach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30 u. 32/4.</w:t>
            </w:r>
          </w:p>
        </w:tc>
      </w:tr>
      <w:tr>
        <w:tblPrEx>
          <w:shd w:val="clear" w:color="auto" w:fill="cadfff"/>
        </w:tblPrEx>
        <w:trPr>
          <w:trHeight w:val="1203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Bei geringerer Teilnehmerzahl k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nnen Wettbewerbe gestrichen oder zusammengelegt werden. Grunds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tzlich sind zwei Spiele pro Tag vorgesehen. F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r Damen ab AK60+ und Herren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ab AK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65+ ist in der Hauptrunde nur ein Spiel pro Tag vorgesehen. - Nebenrunde wird angeboten (DTB-Turnierordnung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11.4): mindestens drei Teilnehmer. (Kein Spiel um Platz drei.)</w:t>
            </w:r>
          </w:p>
        </w:tc>
      </w:tr>
      <w:tr>
        <w:tblPrEx>
          <w:shd w:val="clear" w:color="auto" w:fill="cadfff"/>
        </w:tblPrEx>
        <w:trPr>
          <w:trHeight w:val="723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uppressAutoHyphens w:val="1"/>
              <w:outlineLvl w:val="0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Die t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glichen Spieltermine, -orte sind selbst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en-US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ndig aus Internetseite, ggf. Turniertelefon und/oder den Ver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ffentlichungen vor Ort zu entnehmen. Die Spielzeit versteht sich als Zeit des ersten Aufschlages. Siehe ITF-Tennisregeln.</w:t>
            </w:r>
          </w:p>
        </w:tc>
      </w:tr>
      <w:tr>
        <w:tblPrEx>
          <w:shd w:val="clear" w:color="auto" w:fill="cadfff"/>
        </w:tblPrEx>
        <w:trPr>
          <w:trHeight w:val="1438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Die Teilnehmer m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ssen sich 30 Minuten vor dem Spielbeginn bei der Turnierleitung melden. Sie sind zu den angegebenen Zeiten spielbereit. Es erfolgt kein wiederholter namentlicher Aufruf zum Spiel. Nach letztem Aufruf k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nnen Spieler gestrichen werden. Die Einschlagzeit betr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gt 5 Minuten.</w:t>
            </w:r>
            <w:r>
              <w:rPr>
                <w:rStyle w:val="Ohne"/>
                <w:rFonts w:ascii="Arial" w:cs="Arial" w:hAnsi="Arial" w:eastAsia="Arial"/>
                <w:sz w:val="22"/>
                <w:szCs w:val="22"/>
                <w:lang w:val="de-DE"/>
              </w:rPr>
              <w:br w:type="textWrapping"/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Bei Regen/Dunkelheit kann ggf. in die Halle verlegt werden; es sind Hallenschuhe benutzen.</w:t>
            </w:r>
          </w:p>
        </w:tc>
      </w:tr>
      <w:tr>
        <w:tblPrEx>
          <w:shd w:val="clear" w:color="auto" w:fill="cadfff"/>
        </w:tblPrEx>
        <w:trPr>
          <w:trHeight w:val="47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Verantwortlich, Presse/Medien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(Namen) 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Turnierausschuss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>(3</w:t>
            </w:r>
            <w:r>
              <w:rPr>
                <w:rStyle w:val="Ohne"/>
                <w:rFonts w:ascii="Arial" w:hAnsi="Arial" w:hint="default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… </w:t>
            </w:r>
            <w:r>
              <w:rPr>
                <w:rStyle w:val="Ohne"/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Namen: TL, OS, </w:t>
            </w:r>
            <w:r>
              <w:rPr>
                <w:rStyle w:val="Ohne"/>
                <w:rFonts w:ascii="Arial" w:hAnsi="Arial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…</w:t>
            </w:r>
            <w:r>
              <w:rPr>
                <w:rStyle w:val="Ohne"/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47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Oberschiedsrichter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>(Name)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Schiedsrichter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Es werden keine weiteren SR, LR eingesetzt.</w:t>
            </w:r>
          </w:p>
        </w:tc>
      </w:tr>
      <w:tr>
        <w:tblPrEx>
          <w:shd w:val="clear" w:color="auto" w:fill="cadfff"/>
        </w:tblPrEx>
        <w:trPr>
          <w:trHeight w:val="47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B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lle/Anzahl/Wechsel, Schuhe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1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Wettbewerbe, Feldgr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de-DE"/>
              </w:rPr>
              <w:t>öß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e (Min/Max)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Einzel / Doppel / Mixed, 16er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Feld/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Gruppe/n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…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, KO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ggf.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 Nebenrund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e.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Wenn die Mindestteilnehmerzahl nicht erreicht ist, k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nnen Konkurrenzen zusammen gelegt werden.</w:t>
            </w:r>
          </w:p>
        </w:tc>
      </w:tr>
      <w:tr>
        <w:tblPrEx>
          <w:shd w:val="clear" w:color="auto" w:fill="cadfff"/>
        </w:tblPrEx>
        <w:trPr>
          <w:trHeight w:val="47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Preise 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1. u. 2. Sieger - Pokale, Urkunde, ggf. Sachpreise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,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Geldpreise unterliegen der individuellen Steuerpflicht. 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Wettkampfbestimmungen und Spielmodus:</w:t>
            </w:r>
          </w:p>
        </w:tc>
      </w:tr>
      <w:tr>
        <w:tblPrEx>
          <w:shd w:val="clear" w:color="auto" w:fill="cadfff"/>
        </w:tblPrEx>
        <w:trPr>
          <w:trHeight w:val="1438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Es gelten die Bestimmungen der ITF, des DTB und TMV, weiterhin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gelte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 die Regeln f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r Spiel ohne Schiedsrichter, der DTB-Verhaltenscodex, der Ordnungskatalog des TMV. </w:t>
            </w:r>
          </w:p>
          <w:p>
            <w:pPr>
              <w:pStyle w:val="Tex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Es entscheidet der Gewinn von 2 S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tzen. Bei Spielstand 6:6 ist ein Tie-Break (ITF-Regel 6B; Turnierordnung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37) zu spielen. Der evt. 3. Satz wird als Match-Tie-Break (10 Pkt) gespielt.</w:t>
            </w:r>
          </w:p>
        </w:tc>
      </w:tr>
      <w:tr>
        <w:tblPrEx>
          <w:shd w:val="clear" w:color="auto" w:fill="cadfff"/>
        </w:tblPrEx>
        <w:trPr>
          <w:trHeight w:val="958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Die Spieler/innen k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nnen von der Turnierleitung ggf. zum Schiedsrichter berufen werden.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Die Turnierteilnahme erfolgt auf eigene Gefahr. Die Spieler/innen sind pers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nlich f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r ihren Gesundheitszustand verantwortlich und erkl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ren mit Spielantritt, dass sie in der Lage sind, ohne gesundheitliche Risiken am Turnier teilzunehmen.</w:t>
            </w:r>
          </w:p>
        </w:tc>
      </w:tr>
      <w:tr>
        <w:tblPrEx>
          <w:shd w:val="clear" w:color="auto" w:fill="cadfff"/>
        </w:tblPrEx>
        <w:trPr>
          <w:trHeight w:val="167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Spielbeginn, 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allg. 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Spieltermin 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Spielbeginn ist t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glich 09:00. Alle Spieler/innen haben sich sp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testens 30 Min vor Termin/Ansetzung bei der Turnierleitung einzufinden. Es erfolgt kein 2. Aufruf. Der Spielplan f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r die Folgetage wird in </w:t>
            </w:r>
            <w:r>
              <w:rPr>
                <w:rStyle w:val="Hyperlink.1"/>
                <w:rFonts w:ascii="Arial" w:cs="Arial" w:hAnsi="Arial" w:eastAsia="Arial"/>
                <w:sz w:val="22"/>
                <w:szCs w:val="22"/>
                <w:u w:val="single"/>
                <w:lang w:val="it-IT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22"/>
                <w:szCs w:val="22"/>
                <w:u w:val="single"/>
                <w:lang w:val="it-IT"/>
              </w:rPr>
              <w:instrText xml:space="preserve"> HYPERLINK "http://myBigPoint.tennis.de"</w:instrText>
            </w:r>
            <w:r>
              <w:rPr>
                <w:rStyle w:val="Hyperlink.1"/>
                <w:rFonts w:ascii="Arial" w:cs="Arial" w:hAnsi="Arial" w:eastAsia="Arial"/>
                <w:sz w:val="22"/>
                <w:szCs w:val="22"/>
                <w:u w:val="single"/>
                <w:lang w:val="it-IT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22"/>
                <w:szCs w:val="22"/>
                <w:u w:val="single"/>
                <w:rtl w:val="0"/>
                <w:lang w:val="it-IT"/>
              </w:rPr>
              <w:t>myBigPoint.tennis.de</w:t>
            </w:r>
            <w:r>
              <w:rPr>
                <w:rFonts w:ascii="Arial" w:cs="Arial" w:hAnsi="Arial" w:eastAsia="Arial"/>
                <w:sz w:val="22"/>
                <w:szCs w:val="22"/>
              </w:rPr>
              <w:fldChar w:fldCharType="end" w:fldLock="0"/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 bzw. nuLiga/Verbandsseite t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glich bis ca. 20:00Uhr ver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ffentlicht. </w:t>
            </w:r>
          </w:p>
          <w:p>
            <w:pPr>
              <w:pStyle w:val="Tex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Unmittelbar nach dem Spiel sind Ergebnis und B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lle bei der Turnierleitung zur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ck zu geben.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Hotel, Unterkunft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(Adresse eines Hotels in der N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he...)</w:t>
            </w:r>
          </w:p>
        </w:tc>
      </w:tr>
      <w:tr>
        <w:tblPrEx>
          <w:shd w:val="clear" w:color="auto" w:fill="cadfff"/>
        </w:tblPrEx>
        <w:trPr>
          <w:trHeight w:val="22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Verpflegung 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Club-Gastst</w:t>
            </w:r>
            <w:r>
              <w:rPr>
                <w:rStyle w:val="Oh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tte, Vor Ort wird Mineralwasser, Obst angeboten.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Bespannservice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Kein Service vor Ort.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rzte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(Adresse / Namen)</w:t>
            </w:r>
          </w:p>
        </w:tc>
      </w:tr>
      <w:tr>
        <w:tblPrEx>
          <w:shd w:val="clear" w:color="auto" w:fill="cadfff"/>
        </w:tblPrEx>
        <w:trPr>
          <w:trHeight w:val="28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Sonstiges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Zum Spielerabend wird eingeladen.</w:t>
            </w:r>
          </w:p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ind w:left="432" w:hanging="432"/>
      </w:pPr>
    </w:p>
    <w:p>
      <w:pPr>
        <w:pStyle w:val="Text 2"/>
        <w:spacing w:line="240" w:lineRule="auto"/>
        <w:ind w:left="324" w:hanging="324"/>
      </w:pPr>
      <w:r>
        <w:rPr>
          <w:rStyle w:val="Ohne"/>
          <w:rFonts w:ascii="Arial Unicode MS" w:cs="Arial Unicode MS" w:hAnsi="Arial Unicode MS" w:eastAsia="Arial Unicode MS"/>
        </w:rPr>
      </w:r>
    </w:p>
    <w:sectPr>
      <w:headerReference w:type="default" r:id="rId4"/>
      <w:footerReference w:type="default" r:id="rId5"/>
      <w:pgSz w:w="11900" w:h="16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00"/>
        <w:tab w:val="clear" w:pos="9020"/>
      </w:tabs>
    </w:pPr>
    <w:r>
      <w:rPr/>
      <w:fldChar w:fldCharType="begin" w:fldLock="0"/>
    </w:r>
    <w:r>
      <w:instrText xml:space="preserve"> DATE \@ "dd.MM.y" </w:instrText>
    </w:r>
    <w:r>
      <w:rPr/>
      <w:fldChar w:fldCharType="separate" w:fldLock="0"/>
    </w:r>
    <w:r>
      <w:rPr>
        <w:rtl w:val="0"/>
      </w:rPr>
      <w:t>19.09.2021</w:t>
    </w:r>
    <w:r>
      <w:rPr/>
      <w:fldChar w:fldCharType="end" w:fldLock="0"/>
    </w: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00"/>
        <w:tab w:val="clear" w:pos="9020"/>
      </w:tabs>
    </w:pPr>
    <w:r>
      <w:drawing xmlns:a="http://schemas.openxmlformats.org/drawingml/2006/main">
        <wp:inline distT="0" distB="0" distL="0" distR="0">
          <wp:extent cx="1231660" cy="629987"/>
          <wp:effectExtent l="0" t="0" r="0" b="0"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660" cy="629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 xmlns:a="http://schemas.openxmlformats.org/drawingml/2006/main">
        <wp:inline distT="0" distB="0" distL="0" distR="0">
          <wp:extent cx="545884" cy="543600"/>
          <wp:effectExtent l="0" t="0" r="0" b="0"/>
          <wp:docPr id="1073741826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ld" descr="Bild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884" cy="54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u w:val="single"/>
      <w:lang w:val="it-IT"/>
    </w:rPr>
  </w:style>
  <w:style w:type="paragraph" w:styleId="Text B">
    <w:name w:val="Text B"/>
    <w:next w:val="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2">
    <w:name w:val="Text 2"/>
    <w:next w:val="Text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